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57A14">
      <w:pPr>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 w:eastAsia="zh-CN"/>
        </w:rPr>
        <w:t>附件</w:t>
      </w:r>
      <w:r>
        <w:rPr>
          <w:rFonts w:hint="default" w:ascii="Times New Roman" w:hAnsi="Times New Roman" w:eastAsia="黑体" w:cs="Times New Roman"/>
          <w:sz w:val="32"/>
          <w:szCs w:val="32"/>
          <w:lang w:val="en-US" w:eastAsia="zh-CN"/>
        </w:rPr>
        <w:t>2</w:t>
      </w:r>
    </w:p>
    <w:p w14:paraId="1A500D02">
      <w:pPr>
        <w:pStyle w:val="2"/>
      </w:pPr>
    </w:p>
    <w:p w14:paraId="6C6F768F">
      <w:pPr>
        <w:spacing w:line="560" w:lineRule="exact"/>
        <w:jc w:val="center"/>
        <w:rPr>
          <w:rFonts w:hint="eastAsia" w:eastAsia="方正小标宋简体"/>
          <w:sz w:val="44"/>
          <w:szCs w:val="44"/>
        </w:rPr>
      </w:pPr>
      <w:r>
        <w:rPr>
          <w:rFonts w:eastAsia="方正小标宋简体"/>
          <w:sz w:val="44"/>
          <w:szCs w:val="44"/>
        </w:rPr>
        <w:t>关于《</w:t>
      </w:r>
      <w:r>
        <w:rPr>
          <w:rFonts w:hint="eastAsia" w:eastAsia="方正小标宋简体"/>
          <w:sz w:val="44"/>
          <w:szCs w:val="44"/>
        </w:rPr>
        <w:t>克拉玛依市养老护理员激励补贴实施</w:t>
      </w:r>
    </w:p>
    <w:p w14:paraId="4E15C596">
      <w:pPr>
        <w:spacing w:line="560" w:lineRule="exact"/>
        <w:jc w:val="center"/>
        <w:rPr>
          <w:kern w:val="0"/>
          <w:sz w:val="44"/>
          <w:szCs w:val="44"/>
        </w:rPr>
      </w:pPr>
      <w:r>
        <w:rPr>
          <w:rFonts w:hint="eastAsia" w:eastAsia="方正小标宋简体"/>
          <w:sz w:val="44"/>
          <w:szCs w:val="44"/>
        </w:rPr>
        <w:t>办法</w:t>
      </w:r>
      <w:r>
        <w:rPr>
          <w:rFonts w:eastAsia="方正小标宋简体"/>
          <w:sz w:val="44"/>
          <w:szCs w:val="44"/>
        </w:rPr>
        <w:t>》的</w:t>
      </w:r>
      <w:r>
        <w:rPr>
          <w:rFonts w:hint="eastAsia" w:eastAsia="方正小标宋简体"/>
          <w:sz w:val="44"/>
          <w:szCs w:val="44"/>
          <w:lang w:eastAsia="zh-CN"/>
        </w:rPr>
        <w:t>起草</w:t>
      </w:r>
      <w:r>
        <w:rPr>
          <w:rFonts w:eastAsia="方正小标宋简体"/>
          <w:sz w:val="44"/>
          <w:szCs w:val="44"/>
        </w:rPr>
        <w:t>说明</w:t>
      </w:r>
    </w:p>
    <w:p w14:paraId="3CE4A8C9">
      <w:pPr>
        <w:spacing w:line="560" w:lineRule="exact"/>
        <w:rPr>
          <w:kern w:val="0"/>
        </w:rPr>
      </w:pPr>
    </w:p>
    <w:p w14:paraId="163E9853">
      <w:pPr>
        <w:spacing w:line="560" w:lineRule="exact"/>
        <w:ind w:firstLine="632" w:firstLineChars="200"/>
        <w:rPr>
          <w:kern w:val="0"/>
        </w:rPr>
      </w:pPr>
      <w:r>
        <w:rPr>
          <w:kern w:val="0"/>
        </w:rPr>
        <w:t>《</w:t>
      </w:r>
      <w:r>
        <w:rPr>
          <w:rFonts w:hint="eastAsia"/>
          <w:kern w:val="0"/>
        </w:rPr>
        <w:t>克拉玛依市养老护理员激励补贴实施办</w:t>
      </w:r>
      <w:bookmarkStart w:id="0" w:name="_GoBack"/>
      <w:bookmarkEnd w:id="0"/>
      <w:r>
        <w:rPr>
          <w:rFonts w:hint="eastAsia"/>
          <w:kern w:val="0"/>
        </w:rPr>
        <w:t>法</w:t>
      </w:r>
      <w:r>
        <w:rPr>
          <w:kern w:val="0"/>
        </w:rPr>
        <w:t>》</w:t>
      </w:r>
      <w:r>
        <w:rPr>
          <w:rFonts w:hint="eastAsia"/>
          <w:kern w:val="0"/>
          <w:lang w:eastAsia="zh-CN"/>
        </w:rPr>
        <w:t>（以下简称《办法》）</w:t>
      </w:r>
      <w:r>
        <w:rPr>
          <w:rFonts w:hint="eastAsia"/>
          <w:kern w:val="0"/>
        </w:rPr>
        <w:t>由克拉玛依市民政局牵头起草。市民政局以国家、自治区相关法律、法规、规章及行政规范性文件为依据，结合我市工作实际，组织开展《办法》起草工作。目前已完成向市财政局、市人社局、市税务局及各区民政局的意见征求工作，现就有关情况说明如下</w:t>
      </w:r>
      <w:r>
        <w:rPr>
          <w:rFonts w:hint="eastAsia"/>
          <w:kern w:val="0"/>
          <w:lang w:eastAsia="zh-CN"/>
        </w:rPr>
        <w:t>：</w:t>
      </w:r>
    </w:p>
    <w:p w14:paraId="4F8E43FC">
      <w:pPr>
        <w:spacing w:line="560" w:lineRule="exact"/>
        <w:ind w:firstLine="632" w:firstLineChars="200"/>
        <w:rPr>
          <w:rFonts w:eastAsia="黑体"/>
          <w:kern w:val="0"/>
        </w:rPr>
      </w:pPr>
      <w:r>
        <w:rPr>
          <w:rFonts w:hAnsi="黑体" w:eastAsia="黑体"/>
          <w:kern w:val="0"/>
        </w:rPr>
        <w:t>一、制定的必要性、可行性</w:t>
      </w:r>
    </w:p>
    <w:p w14:paraId="3AD23681">
      <w:pPr>
        <w:spacing w:line="560" w:lineRule="exact"/>
        <w:ind w:firstLine="632" w:firstLineChars="200"/>
        <w:rPr>
          <w:rFonts w:hint="eastAsia"/>
          <w:kern w:val="0"/>
          <w:lang w:val="en-US" w:eastAsia="zh-CN"/>
        </w:rPr>
      </w:pPr>
      <w:r>
        <w:rPr>
          <w:rFonts w:hint="eastAsia" w:ascii="楷体" w:hAnsi="楷体" w:eastAsia="楷体" w:cs="楷体"/>
          <w:kern w:val="0"/>
          <w:lang w:val="en-US" w:eastAsia="zh-CN"/>
        </w:rPr>
        <w:t>（一）必要性。</w:t>
      </w:r>
      <w:r>
        <w:rPr>
          <w:rFonts w:hint="eastAsia"/>
          <w:b/>
          <w:bCs/>
          <w:kern w:val="0"/>
          <w:lang w:val="en-US" w:eastAsia="zh-CN"/>
        </w:rPr>
        <w:t>一是</w:t>
      </w:r>
      <w:r>
        <w:rPr>
          <w:rFonts w:hint="eastAsia"/>
          <w:kern w:val="0"/>
          <w:lang w:val="en-US" w:eastAsia="zh-CN"/>
        </w:rPr>
        <w:t>落实国家、自治区关于养老服务人才队伍建设工作部署的现实需要。国家明确要求健全养老服务人才激励保障举措，地方需结合本地实际细化落地配套政策，补齐人才激励制度短板。</w:t>
      </w:r>
      <w:r>
        <w:rPr>
          <w:rFonts w:hint="eastAsia"/>
          <w:b/>
          <w:bCs/>
          <w:kern w:val="0"/>
          <w:lang w:val="en-US" w:eastAsia="zh-CN"/>
        </w:rPr>
        <w:t>二是</w:t>
      </w:r>
      <w:r>
        <w:rPr>
          <w:rFonts w:hint="eastAsia"/>
          <w:kern w:val="0"/>
          <w:lang w:val="en-US" w:eastAsia="zh-CN"/>
        </w:rPr>
        <w:t>稳定养老护理员队伍、提升养老服务能力的现实需要。通过设立专项补贴，降低人才流失风险，鼓励从业人员长期坚守一线护理岗位，夯实养老服务人才基础。</w:t>
      </w:r>
      <w:r>
        <w:rPr>
          <w:rFonts w:hint="eastAsia"/>
          <w:b/>
          <w:bCs/>
          <w:kern w:val="0"/>
          <w:lang w:val="en-US" w:eastAsia="zh-CN"/>
        </w:rPr>
        <w:t>三是</w:t>
      </w:r>
      <w:r>
        <w:rPr>
          <w:rFonts w:hint="eastAsia"/>
          <w:kern w:val="0"/>
          <w:lang w:val="en-US" w:eastAsia="zh-CN"/>
        </w:rPr>
        <w:t>吸引专业人才入职养老护理行业的现实需要。针对院校毕业生设置入职补贴，引导普通高校、中高等职业学校、技工院校毕业生进入养老护理一线岗位，优化养老护理员队伍学历与技能结构。</w:t>
      </w:r>
    </w:p>
    <w:p w14:paraId="4951966A">
      <w:pPr>
        <w:spacing w:line="560" w:lineRule="exact"/>
        <w:ind w:firstLine="632" w:firstLineChars="200"/>
        <w:rPr>
          <w:rFonts w:hint="eastAsia"/>
          <w:kern w:val="0"/>
          <w:lang w:val="en-US" w:eastAsia="zh-CN"/>
        </w:rPr>
      </w:pPr>
      <w:r>
        <w:rPr>
          <w:rFonts w:hint="eastAsia" w:ascii="楷体" w:hAnsi="楷体" w:eastAsia="楷体" w:cs="楷体"/>
          <w:kern w:val="0"/>
          <w:lang w:val="en-US" w:eastAsia="zh-CN"/>
        </w:rPr>
        <w:t>（二）可行性。</w:t>
      </w:r>
      <w:r>
        <w:rPr>
          <w:rFonts w:hint="eastAsia"/>
          <w:b/>
          <w:bCs/>
          <w:kern w:val="0"/>
          <w:lang w:val="en-US" w:eastAsia="zh-CN"/>
        </w:rPr>
        <w:t>一是</w:t>
      </w:r>
      <w:r>
        <w:rPr>
          <w:rFonts w:hint="eastAsia"/>
          <w:kern w:val="0"/>
          <w:lang w:val="en-US" w:eastAsia="zh-CN"/>
        </w:rPr>
        <w:t>政策基础充分。民政部等12部门出台《关于加强养老服务人才队伍建设的意见》，我市印发《克拉玛依市深化养老服务改革发展的若干措施》，为本《办法》制定提供政策支撑，政策导向清晰，制度设计方向明确。</w:t>
      </w:r>
      <w:r>
        <w:rPr>
          <w:rFonts w:hint="eastAsia"/>
          <w:b/>
          <w:bCs/>
          <w:kern w:val="0"/>
          <w:lang w:val="en-US" w:eastAsia="zh-CN"/>
        </w:rPr>
        <w:t>二是</w:t>
      </w:r>
      <w:r>
        <w:rPr>
          <w:rFonts w:hint="eastAsia"/>
          <w:kern w:val="0"/>
          <w:lang w:val="en-US" w:eastAsia="zh-CN"/>
        </w:rPr>
        <w:t>财政保障具备条件。本《办法》确定市、区两级财政按照1:1比例分担补贴资金，各承担50%，补贴资金分别纳入同级财政预算，财政资金分担模式清晰，具备落实的财政保障基础。</w:t>
      </w:r>
      <w:r>
        <w:rPr>
          <w:rFonts w:hint="eastAsia"/>
          <w:b/>
          <w:bCs/>
          <w:kern w:val="0"/>
          <w:lang w:val="en-US" w:eastAsia="zh-CN"/>
        </w:rPr>
        <w:t>三是</w:t>
      </w:r>
      <w:r>
        <w:rPr>
          <w:rFonts w:hint="eastAsia"/>
          <w:kern w:val="0"/>
          <w:lang w:val="en-US" w:eastAsia="zh-CN"/>
        </w:rPr>
        <w:t>工作实践基础成熟。我市民政部门长期开展养老机构、社区居家养老服务机构备案管理，能够精准掌握辖区养老服务机构运营、在岗护理人员社保缴纳、岗位从业等基础信息，具备开展补贴受理、审核、复核、监管的工作条件。</w:t>
      </w:r>
    </w:p>
    <w:p w14:paraId="68A0C51C">
      <w:pPr>
        <w:spacing w:line="560" w:lineRule="exact"/>
        <w:ind w:firstLine="632" w:firstLineChars="200"/>
        <w:rPr>
          <w:kern w:val="0"/>
        </w:rPr>
      </w:pPr>
      <w:r>
        <w:rPr>
          <w:rFonts w:hAnsi="黑体" w:eastAsia="黑体"/>
          <w:kern w:val="0"/>
        </w:rPr>
        <w:t>二、制定的依据</w:t>
      </w:r>
    </w:p>
    <w:p w14:paraId="4698DB01">
      <w:pPr>
        <w:spacing w:line="560" w:lineRule="exact"/>
        <w:ind w:firstLine="632" w:firstLineChars="200"/>
        <w:rPr>
          <w:kern w:val="0"/>
        </w:rPr>
      </w:pPr>
      <w:r>
        <w:rPr>
          <w:kern w:val="0"/>
        </w:rPr>
        <w:t>1．</w:t>
      </w:r>
      <w:r>
        <w:rPr>
          <w:rFonts w:hint="eastAsia"/>
          <w:kern w:val="0"/>
        </w:rPr>
        <w:t>《关于加强养老服务人才队伍建设的意见》（民发〔2023〕71号）</w:t>
      </w:r>
      <w:r>
        <w:rPr>
          <w:rFonts w:hint="eastAsia"/>
          <w:kern w:val="0"/>
          <w:lang w:eastAsia="zh-CN"/>
        </w:rPr>
        <w:t>；</w:t>
      </w:r>
    </w:p>
    <w:p w14:paraId="0AAEC663">
      <w:pPr>
        <w:spacing w:line="560" w:lineRule="exact"/>
        <w:ind w:firstLine="632" w:firstLineChars="200"/>
        <w:rPr>
          <w:rFonts w:hint="eastAsia"/>
          <w:kern w:val="0"/>
          <w:lang w:eastAsia="zh-CN"/>
        </w:rPr>
      </w:pPr>
      <w:r>
        <w:rPr>
          <w:kern w:val="0"/>
        </w:rPr>
        <w:t>2．</w:t>
      </w:r>
      <w:r>
        <w:rPr>
          <w:rFonts w:hint="eastAsia"/>
          <w:kern w:val="0"/>
        </w:rPr>
        <w:t>《克拉玛依市深化养老服务改革发展的若干措施》</w:t>
      </w:r>
      <w:r>
        <w:rPr>
          <w:rFonts w:hint="eastAsia"/>
          <w:kern w:val="0"/>
          <w:lang w:eastAsia="zh-CN"/>
        </w:rPr>
        <w:t>。</w:t>
      </w:r>
    </w:p>
    <w:p w14:paraId="41FA4888">
      <w:pPr>
        <w:spacing w:line="560" w:lineRule="exact"/>
        <w:ind w:firstLine="632" w:firstLineChars="200"/>
        <w:rPr>
          <w:kern w:val="0"/>
        </w:rPr>
      </w:pPr>
      <w:r>
        <w:rPr>
          <w:rFonts w:hAnsi="黑体" w:eastAsia="黑体"/>
          <w:kern w:val="0"/>
        </w:rPr>
        <w:t>三、征求意见采纳情况</w:t>
      </w:r>
    </w:p>
    <w:p w14:paraId="4C4DC1F9">
      <w:pPr>
        <w:spacing w:line="560" w:lineRule="exact"/>
        <w:ind w:firstLine="632" w:firstLineChars="200"/>
        <w:rPr>
          <w:kern w:val="0"/>
        </w:rPr>
      </w:pPr>
      <w:r>
        <w:rPr>
          <w:rFonts w:hint="eastAsia"/>
          <w:kern w:val="0"/>
        </w:rPr>
        <w:t>202</w:t>
      </w:r>
      <w:r>
        <w:rPr>
          <w:rFonts w:hint="eastAsia"/>
          <w:kern w:val="0"/>
          <w:lang w:val="en-US" w:eastAsia="zh-CN"/>
        </w:rPr>
        <w:t>6</w:t>
      </w:r>
      <w:r>
        <w:rPr>
          <w:rFonts w:hint="eastAsia"/>
          <w:kern w:val="0"/>
        </w:rPr>
        <w:t>年</w:t>
      </w:r>
      <w:r>
        <w:rPr>
          <w:rFonts w:hint="eastAsia"/>
          <w:kern w:val="0"/>
          <w:lang w:val="en-US" w:eastAsia="zh-CN"/>
        </w:rPr>
        <w:t>6</w:t>
      </w:r>
      <w:r>
        <w:rPr>
          <w:rFonts w:hint="eastAsia"/>
          <w:kern w:val="0"/>
        </w:rPr>
        <w:t>月</w:t>
      </w:r>
      <w:r>
        <w:rPr>
          <w:rFonts w:hint="eastAsia"/>
          <w:kern w:val="0"/>
          <w:lang w:val="en-US" w:eastAsia="zh-CN"/>
        </w:rPr>
        <w:t>16</w:t>
      </w:r>
      <w:r>
        <w:rPr>
          <w:rFonts w:hint="eastAsia"/>
          <w:kern w:val="0"/>
        </w:rPr>
        <w:t>日至202</w:t>
      </w:r>
      <w:r>
        <w:rPr>
          <w:rFonts w:hint="eastAsia"/>
          <w:kern w:val="0"/>
          <w:lang w:val="en-US" w:eastAsia="zh-CN"/>
        </w:rPr>
        <w:t>6</w:t>
      </w:r>
      <w:r>
        <w:rPr>
          <w:rFonts w:hint="eastAsia"/>
          <w:kern w:val="0"/>
        </w:rPr>
        <w:t>年</w:t>
      </w:r>
      <w:r>
        <w:rPr>
          <w:rFonts w:hint="eastAsia"/>
          <w:kern w:val="0"/>
          <w:lang w:val="en-US" w:eastAsia="zh-CN"/>
        </w:rPr>
        <w:t>6</w:t>
      </w:r>
      <w:r>
        <w:rPr>
          <w:rFonts w:hint="eastAsia"/>
          <w:kern w:val="0"/>
        </w:rPr>
        <w:t>月</w:t>
      </w:r>
      <w:r>
        <w:rPr>
          <w:rFonts w:hint="eastAsia"/>
          <w:kern w:val="0"/>
          <w:lang w:val="en-US" w:eastAsia="zh-CN"/>
        </w:rPr>
        <w:t>23</w:t>
      </w:r>
      <w:r>
        <w:rPr>
          <w:rFonts w:hint="eastAsia"/>
          <w:kern w:val="0"/>
        </w:rPr>
        <w:t>日</w:t>
      </w:r>
      <w:r>
        <w:rPr>
          <w:rFonts w:hint="eastAsia"/>
          <w:kern w:val="0"/>
          <w:lang w:eastAsia="zh-CN"/>
        </w:rPr>
        <w:t>、</w:t>
      </w:r>
      <w:r>
        <w:rPr>
          <w:rFonts w:hint="eastAsia"/>
          <w:kern w:val="0"/>
          <w:lang w:val="en-US" w:eastAsia="zh-CN"/>
        </w:rPr>
        <w:t>2026年6月24日至2026年6月29日、2026年7月29日至2026年8月5日、2026年8月6日至2026年8月11日先后四次</w:t>
      </w:r>
      <w:r>
        <w:rPr>
          <w:rFonts w:hint="eastAsia"/>
          <w:kern w:val="0"/>
        </w:rPr>
        <w:t>向</w:t>
      </w:r>
      <w:r>
        <w:rPr>
          <w:rFonts w:hint="eastAsia"/>
          <w:kern w:val="0"/>
          <w:lang w:eastAsia="zh-CN"/>
        </w:rPr>
        <w:t>市财政局、市人社局、市税务局和</w:t>
      </w:r>
      <w:r>
        <w:rPr>
          <w:rFonts w:hint="eastAsia"/>
          <w:kern w:val="0"/>
        </w:rPr>
        <w:t>各区民政局征求意见建议</w:t>
      </w:r>
      <w:r>
        <w:rPr>
          <w:rFonts w:hint="eastAsia"/>
          <w:kern w:val="0"/>
          <w:lang w:eastAsia="zh-CN"/>
        </w:rPr>
        <w:t>，市民政局已按照反馈意见进行了修改完善。</w:t>
      </w:r>
    </w:p>
    <w:p w14:paraId="226CF33D">
      <w:pPr>
        <w:spacing w:line="560" w:lineRule="exact"/>
        <w:ind w:firstLine="632" w:firstLineChars="200"/>
        <w:rPr>
          <w:rFonts w:hint="eastAsia" w:cs="Times New Roman"/>
          <w:b w:val="0"/>
          <w:bCs w:val="0"/>
          <w:kern w:val="2"/>
          <w:sz w:val="32"/>
          <w:szCs w:val="32"/>
          <w:lang w:val="en-US" w:eastAsia="zh-CN" w:bidi="ar-SA"/>
        </w:rPr>
      </w:pPr>
      <w:r>
        <w:rPr>
          <w:rFonts w:hint="eastAsia" w:hAnsi="黑体" w:eastAsia="黑体"/>
          <w:kern w:val="0"/>
          <w:lang w:eastAsia="zh-CN"/>
        </w:rPr>
        <w:t>四</w:t>
      </w:r>
      <w:r>
        <w:rPr>
          <w:rFonts w:hAnsi="黑体" w:eastAsia="黑体"/>
          <w:kern w:val="0"/>
        </w:rPr>
        <w:t>、主要内容及说明</w:t>
      </w:r>
    </w:p>
    <w:p w14:paraId="465A7A15">
      <w:pPr>
        <w:spacing w:line="560" w:lineRule="exact"/>
        <w:ind w:firstLine="645"/>
        <w:contextualSpacing/>
        <w:rPr>
          <w:rFonts w:hint="eastAsia" w:cs="Times New Roman"/>
          <w:b w:val="0"/>
          <w:bCs w:val="0"/>
          <w:kern w:val="2"/>
          <w:sz w:val="32"/>
          <w:szCs w:val="32"/>
          <w:lang w:val="en-US" w:eastAsia="zh-CN" w:bidi="ar-SA"/>
        </w:rPr>
      </w:pPr>
      <w:r>
        <w:rPr>
          <w:rFonts w:hint="eastAsia" w:cs="Times New Roman"/>
          <w:b w:val="0"/>
          <w:bCs w:val="0"/>
          <w:kern w:val="2"/>
          <w:sz w:val="32"/>
          <w:szCs w:val="32"/>
          <w:lang w:val="en-US" w:eastAsia="zh-CN" w:bidi="ar-SA"/>
        </w:rPr>
        <w:t>1.</w:t>
      </w:r>
      <w:r>
        <w:rPr>
          <w:rFonts w:hint="eastAsia" w:cs="Times New Roman"/>
          <w:b/>
          <w:bCs/>
          <w:kern w:val="2"/>
          <w:sz w:val="32"/>
          <w:szCs w:val="32"/>
          <w:lang w:val="en-US" w:eastAsia="zh-CN" w:bidi="ar-SA"/>
        </w:rPr>
        <w:t xml:space="preserve"> 明确适用范围。</w:t>
      </w:r>
      <w:r>
        <w:rPr>
          <w:rFonts w:hint="eastAsia" w:cs="Times New Roman"/>
          <w:b w:val="0"/>
          <w:bCs w:val="0"/>
          <w:kern w:val="2"/>
          <w:sz w:val="32"/>
          <w:szCs w:val="32"/>
          <w:lang w:val="en-US" w:eastAsia="zh-CN" w:bidi="ar-SA"/>
        </w:rPr>
        <w:t>《办法》适用于克拉玛依市行政区域内经民政部门依法登记、完成养老服务备案的养老机构、社区居家养老服务机构在岗养老护理员，公办养老机构事业编制从事护理岗位人员不纳入本《办法》补贴范围，实现政策对象精准界定。</w:t>
      </w:r>
    </w:p>
    <w:p w14:paraId="35D7A25C">
      <w:pPr>
        <w:spacing w:line="560" w:lineRule="exact"/>
        <w:ind w:firstLine="645"/>
        <w:contextualSpacing/>
        <w:rPr>
          <w:rFonts w:hint="eastAsia" w:cs="Times New Roman"/>
          <w:b w:val="0"/>
          <w:bCs w:val="0"/>
          <w:kern w:val="2"/>
          <w:sz w:val="32"/>
          <w:szCs w:val="32"/>
          <w:lang w:val="en-US" w:eastAsia="zh-CN" w:bidi="ar-SA"/>
        </w:rPr>
      </w:pPr>
      <w:r>
        <w:rPr>
          <w:rFonts w:hint="eastAsia" w:cs="Times New Roman"/>
          <w:b w:val="0"/>
          <w:bCs w:val="0"/>
          <w:kern w:val="2"/>
          <w:sz w:val="32"/>
          <w:szCs w:val="32"/>
          <w:lang w:val="en-US" w:eastAsia="zh-CN" w:bidi="ar-SA"/>
        </w:rPr>
        <w:t xml:space="preserve">2. </w:t>
      </w:r>
      <w:r>
        <w:rPr>
          <w:rFonts w:hint="eastAsia" w:cs="Times New Roman"/>
          <w:b/>
          <w:bCs/>
          <w:kern w:val="2"/>
          <w:sz w:val="32"/>
          <w:szCs w:val="32"/>
          <w:lang w:val="en-US" w:eastAsia="zh-CN" w:bidi="ar-SA"/>
        </w:rPr>
        <w:t>明确补贴项目。一是</w:t>
      </w:r>
      <w:r>
        <w:rPr>
          <w:rFonts w:hint="eastAsia" w:cs="Times New Roman"/>
          <w:b w:val="0"/>
          <w:bCs w:val="0"/>
          <w:kern w:val="2"/>
          <w:sz w:val="32"/>
          <w:szCs w:val="32"/>
          <w:lang w:val="en-US" w:eastAsia="zh-CN" w:bidi="ar-SA"/>
        </w:rPr>
        <w:t>设立入职补贴，面向普通高等院校、中高等职业学校（含技工院校）毕业并入职我市备案养老服务机构专职从事一线养老护理工作的人员，按照学历层次分三档设置补贴标准，本科及以上、技工院校预备技师班毕业生补贴总额10000元，专科（高职）、技工院校高级工班毕业生补贴总额5000元，中专（中职）、技工院校中级工班毕业生补贴总额3000元，补贴分3年按30%、30%、40%比例分次发放，引导专业院校毕业生投身养老护理岗位。</w:t>
      </w:r>
      <w:r>
        <w:rPr>
          <w:rFonts w:hint="eastAsia" w:cs="Times New Roman"/>
          <w:b/>
          <w:bCs/>
          <w:kern w:val="2"/>
          <w:sz w:val="32"/>
          <w:szCs w:val="32"/>
          <w:lang w:val="en-US" w:eastAsia="zh-CN" w:bidi="ar-SA"/>
        </w:rPr>
        <w:t>二是</w:t>
      </w:r>
      <w:r>
        <w:rPr>
          <w:rFonts w:hint="eastAsia" w:cs="Times New Roman"/>
          <w:b w:val="0"/>
          <w:bCs w:val="0"/>
          <w:kern w:val="2"/>
          <w:sz w:val="32"/>
          <w:szCs w:val="32"/>
          <w:lang w:val="en-US" w:eastAsia="zh-CN" w:bidi="ar-SA"/>
        </w:rPr>
        <w:t>设立岗位补贴，从业人员在备案养老服务机构连续不间断专职从事一线养老护理岗位满3年、正常缴纳社会保险，自第4年起计发岗位补贴，初始每月补贴100元，在岗年限每增加完整1年，月补贴提高50元，月补贴最高300元封顶，个人累计享受补贴最长不超过5年，激励护理人员长期稳定坚守一线岗位。两项补贴可叠加享受，分开组织申报、审核与发放。</w:t>
      </w:r>
    </w:p>
    <w:p w14:paraId="15037424">
      <w:pPr>
        <w:spacing w:line="560" w:lineRule="exact"/>
        <w:ind w:firstLine="645"/>
        <w:contextualSpacing/>
        <w:rPr>
          <w:rFonts w:hint="eastAsia" w:cs="Times New Roman"/>
          <w:b w:val="0"/>
          <w:bCs w:val="0"/>
          <w:kern w:val="2"/>
          <w:sz w:val="32"/>
          <w:szCs w:val="32"/>
          <w:lang w:val="en-US" w:eastAsia="zh-CN" w:bidi="ar-SA"/>
        </w:rPr>
      </w:pPr>
      <w:r>
        <w:rPr>
          <w:rFonts w:hint="eastAsia" w:cs="Times New Roman"/>
          <w:b w:val="0"/>
          <w:bCs w:val="0"/>
          <w:kern w:val="2"/>
          <w:sz w:val="32"/>
          <w:szCs w:val="32"/>
          <w:lang w:val="en-US" w:eastAsia="zh-CN" w:bidi="ar-SA"/>
        </w:rPr>
        <w:t xml:space="preserve">3. </w:t>
      </w:r>
      <w:r>
        <w:rPr>
          <w:rFonts w:hint="eastAsia" w:cs="Times New Roman"/>
          <w:b/>
          <w:bCs/>
          <w:kern w:val="2"/>
          <w:sz w:val="32"/>
          <w:szCs w:val="32"/>
          <w:lang w:val="en-US" w:eastAsia="zh-CN" w:bidi="ar-SA"/>
        </w:rPr>
        <w:t>明确发放流程。</w:t>
      </w:r>
      <w:r>
        <w:rPr>
          <w:rFonts w:hint="eastAsia" w:cs="Times New Roman"/>
          <w:b w:val="0"/>
          <w:bCs w:val="0"/>
          <w:kern w:val="2"/>
          <w:sz w:val="32"/>
          <w:szCs w:val="32"/>
          <w:lang w:val="en-US" w:eastAsia="zh-CN" w:bidi="ar-SA"/>
        </w:rPr>
        <w:t>明确按照个人申请、机构初审、区级民政部门复审、财政拨付、机构发放至个人的全流程办理模式。从业人员在完整服务年度结束后向所在机构提交申请材料，养老服务机构完成在岗情况、社保记录、材料真实性初审并汇总上报区民政局；区民政局完成复审认定后向同级财政部门申请资金，财政部门将补贴资金拨付至养老服务机构对公账户，机构收到资金次月须足额发放至从业人员本人，并依法代扣代缴个人所得税，严禁截留、挪用、拖延发放补贴资金。</w:t>
      </w:r>
    </w:p>
    <w:p w14:paraId="7E4976F4">
      <w:pPr>
        <w:spacing w:line="560" w:lineRule="exact"/>
        <w:ind w:firstLine="645"/>
        <w:contextualSpacing/>
        <w:rPr>
          <w:rFonts w:hint="eastAsia" w:cs="Times New Roman"/>
          <w:b w:val="0"/>
          <w:bCs w:val="0"/>
          <w:kern w:val="2"/>
          <w:sz w:val="32"/>
          <w:szCs w:val="32"/>
          <w:lang w:val="en-US" w:eastAsia="zh-CN" w:bidi="ar-SA"/>
        </w:rPr>
      </w:pPr>
      <w:r>
        <w:rPr>
          <w:rFonts w:hint="eastAsia" w:cs="Times New Roman"/>
          <w:b w:val="0"/>
          <w:bCs w:val="0"/>
          <w:kern w:val="2"/>
          <w:sz w:val="32"/>
          <w:szCs w:val="32"/>
          <w:lang w:val="en-US" w:eastAsia="zh-CN" w:bidi="ar-SA"/>
        </w:rPr>
        <w:t xml:space="preserve">4. </w:t>
      </w:r>
      <w:r>
        <w:rPr>
          <w:rFonts w:hint="eastAsia" w:cs="Times New Roman"/>
          <w:b/>
          <w:bCs/>
          <w:kern w:val="2"/>
          <w:sz w:val="32"/>
          <w:szCs w:val="32"/>
          <w:lang w:val="en-US" w:eastAsia="zh-CN" w:bidi="ar-SA"/>
        </w:rPr>
        <w:t>明确监督问责。</w:t>
      </w:r>
      <w:r>
        <w:rPr>
          <w:rFonts w:hint="eastAsia" w:cs="Times New Roman"/>
          <w:b w:val="0"/>
          <w:bCs w:val="0"/>
          <w:kern w:val="2"/>
          <w:sz w:val="32"/>
          <w:szCs w:val="32"/>
          <w:lang w:val="en-US" w:eastAsia="zh-CN" w:bidi="ar-SA"/>
        </w:rPr>
        <w:t>市、区民政部门开展常态化抽查核查，强化补贴资金全流程监管。明确养老护理员应当如实提交申报材料，养老服务机构不得使用补贴抵扣从业人员基本工资及福利待遇；对机构、个人通过弄虚作假手段虚报冒领补贴资金的，按规定撤销补贴资格、追缴已发放补贴资金，并依规纳入失信管理，涉嫌违法犯罪的移送司法机关处理；对公职人员存在徇私舞弊、玩忽职守等情形的，依规依纪追究相应责任，筑牢财政资金安全防线。</w:t>
      </w:r>
    </w:p>
    <w:p w14:paraId="62DCB842">
      <w:pPr>
        <w:spacing w:line="560" w:lineRule="exact"/>
        <w:ind w:firstLine="645"/>
        <w:contextualSpacing/>
        <w:rPr>
          <w:sz w:val="28"/>
          <w:szCs w:val="28"/>
        </w:rPr>
      </w:pPr>
    </w:p>
    <w:sectPr>
      <w:footerReference r:id="rId4" w:type="default"/>
      <w:headerReference r:id="rId3" w:type="even"/>
      <w:footerReference r:id="rId5" w:type="even"/>
      <w:pgSz w:w="11906" w:h="16838"/>
      <w:pgMar w:top="2098" w:right="1531" w:bottom="2098" w:left="1417" w:header="851" w:footer="1587" w:gutter="0"/>
      <w:pgNumType w:fmt="decimal"/>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C95A9">
    <w:pPr>
      <w:pStyle w:val="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98679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98679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477B4">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77.7pt;mso-position-horizontal:outside;mso-position-horizontal-relative:margin;z-index:251660288;mso-width-relative:page;mso-height-relative:page;" filled="f" stroked="f" coordsize="21600,21600" o:gfxdata="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txjEdQAAAAFAQAADwAAAAAAAAABACAAAAAiAAAAZHJzL2Rvd25yZXYu&#10;eG1sUEsBAhQAFAAAAAgAh07iQOGvUkM4AgAAYgQAAA4AAAAAAAAAAQAgAAAAIwEAAGRycy9lMm9E&#10;b2MueG1sUEsFBgAAAAAGAAYAWQEAAM0FAAAAAA==&#10;">
              <v:fill on="f" focussize="0,0"/>
              <v:stroke on="f" weight="0.5pt"/>
              <v:imagedata o:title=""/>
              <o:lock v:ext="edit" aspectratio="f"/>
              <v:textbox inset="0mm,0mm,0mm,0mm" style="mso-fit-shape-to-text:t;">
                <w:txbxContent>
                  <w:p w14:paraId="757477B4">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97D3">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87B61">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487B61">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D8B3">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2498756-DC40-4C5A-9B90-A85F0121AFCD}" w:val="g5wVpcJR9WOLiGj=lb3AQxaoDXfHKhysFTkYBzN+P28mevS/qntE47uMdCZ01rUI6"/>
    <w:docVar w:name="commondata" w:val="eyJoZGlkIjoiMjBjYjdmNTBkY2ZmZjRhNDhiYzA1ZWQxOTY0NzAwNGUifQ=="/>
    <w:docVar w:name="DocumentID" w:val="{B8E4F60D-E765-4E42-B12D-86901E71EA6F}"/>
  </w:docVars>
  <w:rsids>
    <w:rsidRoot w:val="00023CD3"/>
    <w:rsid w:val="00023CD3"/>
    <w:rsid w:val="00084694"/>
    <w:rsid w:val="00107695"/>
    <w:rsid w:val="00145350"/>
    <w:rsid w:val="00174AEB"/>
    <w:rsid w:val="00243BD5"/>
    <w:rsid w:val="002B0D72"/>
    <w:rsid w:val="002F0123"/>
    <w:rsid w:val="00315E8C"/>
    <w:rsid w:val="0032696A"/>
    <w:rsid w:val="00337620"/>
    <w:rsid w:val="0038024D"/>
    <w:rsid w:val="003839D4"/>
    <w:rsid w:val="003B6B33"/>
    <w:rsid w:val="00416287"/>
    <w:rsid w:val="004301B9"/>
    <w:rsid w:val="0044618C"/>
    <w:rsid w:val="00457DCA"/>
    <w:rsid w:val="00475C94"/>
    <w:rsid w:val="004E222A"/>
    <w:rsid w:val="004F5E2F"/>
    <w:rsid w:val="0051673A"/>
    <w:rsid w:val="00602093"/>
    <w:rsid w:val="0061101B"/>
    <w:rsid w:val="00653DEC"/>
    <w:rsid w:val="0067430A"/>
    <w:rsid w:val="006B337D"/>
    <w:rsid w:val="006C6BB8"/>
    <w:rsid w:val="00764F65"/>
    <w:rsid w:val="00771DA8"/>
    <w:rsid w:val="0079037F"/>
    <w:rsid w:val="007F0358"/>
    <w:rsid w:val="00836306"/>
    <w:rsid w:val="008769BD"/>
    <w:rsid w:val="00882246"/>
    <w:rsid w:val="008E3865"/>
    <w:rsid w:val="009016ED"/>
    <w:rsid w:val="00904565"/>
    <w:rsid w:val="00910F81"/>
    <w:rsid w:val="00915A6C"/>
    <w:rsid w:val="00936884"/>
    <w:rsid w:val="009554E5"/>
    <w:rsid w:val="009B4D61"/>
    <w:rsid w:val="009F0059"/>
    <w:rsid w:val="00A0611C"/>
    <w:rsid w:val="00A37CF8"/>
    <w:rsid w:val="00A80468"/>
    <w:rsid w:val="00B26B13"/>
    <w:rsid w:val="00B5314D"/>
    <w:rsid w:val="00B67977"/>
    <w:rsid w:val="00B954F4"/>
    <w:rsid w:val="00BA415B"/>
    <w:rsid w:val="00BD1B3D"/>
    <w:rsid w:val="00C23208"/>
    <w:rsid w:val="00C732CF"/>
    <w:rsid w:val="00C85CF9"/>
    <w:rsid w:val="00C87E37"/>
    <w:rsid w:val="00CB13BA"/>
    <w:rsid w:val="00D10D2B"/>
    <w:rsid w:val="00D22EA2"/>
    <w:rsid w:val="00D230B1"/>
    <w:rsid w:val="00D62244"/>
    <w:rsid w:val="00DF7207"/>
    <w:rsid w:val="00E03E62"/>
    <w:rsid w:val="00E43A02"/>
    <w:rsid w:val="00F43594"/>
    <w:rsid w:val="00FD0384"/>
    <w:rsid w:val="00FE3965"/>
    <w:rsid w:val="0FFFB18F"/>
    <w:rsid w:val="1155456F"/>
    <w:rsid w:val="34ED97E9"/>
    <w:rsid w:val="3ED71F3C"/>
    <w:rsid w:val="3FF79E62"/>
    <w:rsid w:val="3FFF1673"/>
    <w:rsid w:val="57AF57BB"/>
    <w:rsid w:val="5FB791B4"/>
    <w:rsid w:val="6D0FDE09"/>
    <w:rsid w:val="72A8282D"/>
    <w:rsid w:val="757FDDE7"/>
    <w:rsid w:val="7AB00C4F"/>
    <w:rsid w:val="7EEF4E20"/>
    <w:rsid w:val="7F7F6489"/>
    <w:rsid w:val="7FDE4981"/>
    <w:rsid w:val="B773218E"/>
    <w:rsid w:val="C9FF8E05"/>
    <w:rsid w:val="ED5F3AB2"/>
    <w:rsid w:val="EDB71AB1"/>
    <w:rsid w:val="EF7D2517"/>
    <w:rsid w:val="EFDC0C71"/>
    <w:rsid w:val="FAEB152C"/>
    <w:rsid w:val="FF7F35B4"/>
    <w:rsid w:val="FFCF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ind w:firstLine="480" w:firstLineChars="200"/>
    </w:pPr>
    <w:rPr>
      <w:rFonts w:cs="宋体"/>
      <w:color w:val="000000"/>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page number"/>
    <w:basedOn w:val="8"/>
    <w:qFormat/>
    <w:uiPriority w:val="0"/>
  </w:style>
  <w:style w:type="paragraph" w:customStyle="1" w:styleId="10">
    <w:name w:val="p0"/>
    <w:basedOn w:val="1"/>
    <w:qFormat/>
    <w:uiPriority w:val="0"/>
    <w:pPr>
      <w:widowControl/>
    </w:pPr>
    <w:rPr>
      <w:rFonts w:eastAsia="宋体"/>
      <w:kern w:val="0"/>
      <w:sz w:val="21"/>
      <w:szCs w:val="21"/>
    </w:rPr>
  </w:style>
  <w:style w:type="paragraph" w:customStyle="1" w:styleId="11">
    <w:name w:val="List Paragraph"/>
    <w:basedOn w:val="1"/>
    <w:qFormat/>
    <w:uiPriority w:val="0"/>
    <w:pPr>
      <w:ind w:firstLine="420" w:firstLineChars="200"/>
    </w:pPr>
    <w:rPr>
      <w:rFonts w:ascii="Calibri" w:hAnsi="Calibri" w:eastAsia="宋体"/>
      <w:sz w:val="21"/>
      <w:szCs w:val="22"/>
    </w:rPr>
  </w:style>
  <w:style w:type="paragraph" w:customStyle="1" w:styleId="12">
    <w:name w:val="正文_0"/>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D:\DocumentSystem\UILayer\DocumentWeb\ActiveX\WordTemplate\oadocument.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oadocument</Template>
  <Company>iFlytek</Company>
  <Pages>4</Pages>
  <Words>484</Words>
  <Characters>2759</Characters>
  <Lines>22</Lines>
  <Paragraphs>6</Paragraphs>
  <TotalTime>7</TotalTime>
  <ScaleCrop>false</ScaleCrop>
  <LinksUpToDate>false</LinksUpToDate>
  <CharactersWithSpaces>3237</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2019-05-19T00:02:00Z</dcterms:created>
  <dc:creator>yizheng</dc:creator>
  <cp:lastModifiedBy>user</cp:lastModifiedBy>
  <cp:lastPrinted>2026-01-28T02:25:00Z</cp:lastPrinted>
  <dcterms:modified xsi:type="dcterms:W3CDTF">2026-08-27T05:12:46Z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DE83C2C408AD4E67B5C8096468251647_12</vt:lpwstr>
  </property>
</Properties>
</file>